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61" w:rsidRPr="00E15161" w:rsidRDefault="00E15161" w:rsidP="00E15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161">
        <w:rPr>
          <w:rFonts w:ascii="Times New Roman" w:hAnsi="Times New Roman" w:cs="Times New Roman"/>
          <w:b/>
          <w:sz w:val="28"/>
          <w:szCs w:val="28"/>
        </w:rPr>
        <w:t>ПР</w:t>
      </w:r>
      <w:bookmarkStart w:id="0" w:name="_GoBack"/>
      <w:bookmarkEnd w:id="0"/>
      <w:r w:rsidRPr="00E15161">
        <w:rPr>
          <w:rFonts w:ascii="Times New Roman" w:hAnsi="Times New Roman" w:cs="Times New Roman"/>
          <w:b/>
          <w:sz w:val="28"/>
          <w:szCs w:val="28"/>
        </w:rPr>
        <w:t xml:space="preserve">ИЛОЖЕНИЕ № 9 К </w:t>
      </w:r>
      <w:proofErr w:type="gramStart"/>
      <w:r w:rsidRPr="00E15161">
        <w:rPr>
          <w:rFonts w:ascii="Times New Roman" w:hAnsi="Times New Roman" w:cs="Times New Roman"/>
          <w:b/>
          <w:sz w:val="28"/>
          <w:szCs w:val="28"/>
        </w:rPr>
        <w:t>ТР</w:t>
      </w:r>
      <w:proofErr w:type="gramEnd"/>
      <w:r w:rsidRPr="00E15161">
        <w:rPr>
          <w:rFonts w:ascii="Times New Roman" w:hAnsi="Times New Roman" w:cs="Times New Roman"/>
          <w:b/>
          <w:sz w:val="28"/>
          <w:szCs w:val="28"/>
        </w:rPr>
        <w:t xml:space="preserve"> ТС 018</w:t>
      </w:r>
      <w:r w:rsidRPr="00E15161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Pr="00E15161">
        <w:rPr>
          <w:rFonts w:ascii="Times New Roman" w:hAnsi="Times New Roman" w:cs="Times New Roman"/>
          <w:b/>
          <w:sz w:val="28"/>
          <w:szCs w:val="28"/>
        </w:rPr>
        <w:t>2011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9729B" w:rsidRPr="0073552D" w:rsidTr="0049729B">
        <w:tc>
          <w:tcPr>
            <w:tcW w:w="7393" w:type="dxa"/>
          </w:tcPr>
          <w:p w:rsidR="0049729B" w:rsidRPr="0073552D" w:rsidRDefault="0049729B" w:rsidP="007355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6495"/>
            <w:bookmarkEnd w:id="1"/>
            <w:r w:rsidRPr="0073552D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конструкции транспортного средства</w:t>
            </w:r>
          </w:p>
        </w:tc>
        <w:tc>
          <w:tcPr>
            <w:tcW w:w="7393" w:type="dxa"/>
          </w:tcPr>
          <w:p w:rsidR="0049729B" w:rsidRPr="0073552D" w:rsidRDefault="0049729B" w:rsidP="007355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требования, которые должны быть выполнены при внесении изменений в конструкцию транспортного средства</w:t>
            </w:r>
          </w:p>
        </w:tc>
      </w:tr>
      <w:tr w:rsidR="0073552D" w:rsidTr="0049729B">
        <w:tc>
          <w:tcPr>
            <w:tcW w:w="7393" w:type="dxa"/>
            <w:vMerge w:val="restart"/>
          </w:tcPr>
          <w:p w:rsidR="0073552D" w:rsidRPr="0073552D" w:rsidRDefault="0073552D" w:rsidP="007355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1. Изменение типа кузова, связанное с установкой на шасси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транспортного средства стандартных самосвальных и бортовых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кузовов, цистерн, кузовов-фургонов (в том числе контейнеров),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тента, прошедших оценку соответствия в составе данного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транспортного средства, а также установка указанных типов кузовов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взамен друг друга.</w:t>
            </w:r>
          </w:p>
        </w:tc>
        <w:tc>
          <w:tcPr>
            <w:tcW w:w="7393" w:type="dxa"/>
          </w:tcPr>
          <w:p w:rsidR="0073552D" w:rsidRPr="0073552D" w:rsidRDefault="0073552D" w:rsidP="007355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1.1. Максимальная масса и ее распределение по осям и бортам,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также изменение координат центра масс не должны превышать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пределов, установленных изготовителем транспортного средства.</w:t>
            </w:r>
          </w:p>
        </w:tc>
      </w:tr>
      <w:tr w:rsidR="0073552D" w:rsidTr="0049729B">
        <w:tc>
          <w:tcPr>
            <w:tcW w:w="7393" w:type="dxa"/>
            <w:vMerge/>
          </w:tcPr>
          <w:p w:rsidR="0073552D" w:rsidRPr="0073552D" w:rsidRDefault="0073552D" w:rsidP="005A7E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3552D" w:rsidRPr="0073552D" w:rsidRDefault="0073552D" w:rsidP="007355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1.2. Габаритная ширина не должна превышать 2,55 м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изотермических кузовов транспортных средств 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максимальная ширина 2,6 м), а высота 4,0 м.</w:t>
            </w:r>
          </w:p>
        </w:tc>
      </w:tr>
      <w:tr w:rsidR="0073552D" w:rsidTr="0049729B">
        <w:tc>
          <w:tcPr>
            <w:tcW w:w="7393" w:type="dxa"/>
            <w:vMerge/>
          </w:tcPr>
          <w:p w:rsidR="0073552D" w:rsidRPr="0073552D" w:rsidRDefault="0073552D" w:rsidP="005A7E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3552D" w:rsidRPr="0073552D" w:rsidRDefault="0073552D" w:rsidP="007355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1.3. Кузов (цистерна) должен надежно крепиться к раме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транспортного средства крепежными элементами, аналогичными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конструкции, количеству и материалу элементам крепления кузова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или цистерны того же транспортного средства, изготовленного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условиях серийного производства, той же или большей технически допустимой максимальной массы.</w:t>
            </w:r>
          </w:p>
        </w:tc>
      </w:tr>
      <w:tr w:rsidR="0073552D" w:rsidTr="0049729B">
        <w:tc>
          <w:tcPr>
            <w:tcW w:w="7393" w:type="dxa"/>
            <w:vMerge/>
          </w:tcPr>
          <w:p w:rsidR="0073552D" w:rsidRPr="0073552D" w:rsidRDefault="0073552D" w:rsidP="005A7E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3552D" w:rsidRPr="0073552D" w:rsidRDefault="0073552D" w:rsidP="007355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1.4. Место расположения и установка задних внешних световых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приборов и приборов освещения заднего 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регистрационного знака должны соответствовать Правилам ЕЭК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ООН № 48.</w:t>
            </w:r>
          </w:p>
        </w:tc>
      </w:tr>
      <w:tr w:rsidR="0049729B" w:rsidTr="0049729B">
        <w:tc>
          <w:tcPr>
            <w:tcW w:w="7393" w:type="dxa"/>
          </w:tcPr>
          <w:p w:rsidR="0049729B" w:rsidRPr="0073552D" w:rsidRDefault="0049729B" w:rsidP="007355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2. Установка на грузовых автомобилях дополнительных топливных</w:t>
            </w:r>
            <w:r w:rsidR="00735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баков, в отношении которых была проведена оценка соответствия в</w:t>
            </w:r>
            <w:r w:rsidR="00735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составе типа транспортного средства</w:t>
            </w:r>
          </w:p>
        </w:tc>
        <w:tc>
          <w:tcPr>
            <w:tcW w:w="7393" w:type="dxa"/>
          </w:tcPr>
          <w:p w:rsidR="0049729B" w:rsidRPr="0073552D" w:rsidRDefault="0049729B" w:rsidP="007355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gramStart"/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Дополнительные топливные баки должны быть установлены на</w:t>
            </w:r>
            <w:r w:rsidR="00735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предусмотренные изготовителем транспортного средства места и</w:t>
            </w:r>
            <w:r w:rsidR="00735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закреплены крепежными элементами, аналогичными по</w:t>
            </w:r>
            <w:r w:rsidR="00735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конструкции, количеству и применяемым материалам крепежных</w:t>
            </w:r>
            <w:r w:rsidR="00735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элементов транспортного средства.</w:t>
            </w:r>
            <w:proofErr w:type="gramEnd"/>
          </w:p>
        </w:tc>
      </w:tr>
      <w:tr w:rsidR="000B1FDC" w:rsidTr="0049729B">
        <w:tc>
          <w:tcPr>
            <w:tcW w:w="7393" w:type="dxa"/>
            <w:vMerge w:val="restart"/>
          </w:tcPr>
          <w:p w:rsidR="000B1FDC" w:rsidRPr="0073552D" w:rsidRDefault="000B1FDC" w:rsidP="007355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3. Установка вместо бортовых и самосвальных кузовов и цистерн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седельного сцепного устройства, в отношении которого была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проведена оценка соответствия в составе типа транспортного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7393" w:type="dxa"/>
          </w:tcPr>
          <w:p w:rsidR="000B1FDC" w:rsidRPr="0073552D" w:rsidRDefault="000B1FDC" w:rsidP="000B1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3.1. В тип транспортного средства должны быть включены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модификации, оборудованные седельными сцепными устройствами. При внесении изменений в конструкцию транспортного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применяются указанные устройства.</w:t>
            </w:r>
          </w:p>
        </w:tc>
      </w:tr>
      <w:tr w:rsidR="000B1FDC" w:rsidTr="0049729B">
        <w:tc>
          <w:tcPr>
            <w:tcW w:w="7393" w:type="dxa"/>
            <w:vMerge/>
          </w:tcPr>
          <w:p w:rsidR="000B1FDC" w:rsidRPr="0073552D" w:rsidRDefault="000B1FDC" w:rsidP="005A7E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0B1FDC" w:rsidRPr="0073552D" w:rsidRDefault="000B1FDC" w:rsidP="000B1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3.2. Седельное устройство должно быть закреплено крепежными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элементами, аналогичными по конструкции, количеству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применяемым </w:t>
            </w:r>
            <w:proofErr w:type="gramStart"/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материалам</w:t>
            </w:r>
            <w:proofErr w:type="gramEnd"/>
            <w:r w:rsidRPr="0073552D">
              <w:rPr>
                <w:rFonts w:ascii="Times New Roman" w:hAnsi="Times New Roman" w:cs="Times New Roman"/>
                <w:sz w:val="24"/>
                <w:szCs w:val="24"/>
              </w:rPr>
              <w:t xml:space="preserve"> крепежным элементам транспортного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средства.</w:t>
            </w:r>
          </w:p>
        </w:tc>
      </w:tr>
      <w:tr w:rsidR="000B1FDC" w:rsidTr="0049729B">
        <w:tc>
          <w:tcPr>
            <w:tcW w:w="7393" w:type="dxa"/>
            <w:vMerge/>
          </w:tcPr>
          <w:p w:rsidR="000B1FDC" w:rsidRPr="0073552D" w:rsidRDefault="000B1FDC" w:rsidP="005A7E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0B1FDC" w:rsidRPr="0073552D" w:rsidRDefault="000B1FDC" w:rsidP="000B1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3.3. Расположение седельного устройства относительно заднего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моста должно соответствовать его расположению на выпускаемых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седельных тягачах того же типа и обеспечивать относительный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поворот тягача и полуприцепа вокруг оси шкворня в горизонтальной плоскости не менее чем на 90 градусов в каждую сторону.</w:t>
            </w:r>
          </w:p>
        </w:tc>
      </w:tr>
      <w:tr w:rsidR="000B1FDC" w:rsidTr="0049729B">
        <w:tc>
          <w:tcPr>
            <w:tcW w:w="7393" w:type="dxa"/>
            <w:vMerge/>
          </w:tcPr>
          <w:p w:rsidR="000B1FDC" w:rsidRPr="0073552D" w:rsidRDefault="000B1FDC" w:rsidP="005A7E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0B1FDC" w:rsidRPr="0073552D" w:rsidRDefault="000B1FDC" w:rsidP="000B1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3.4. Место расположения и установка задних внешних световых приборов и приборов освещения заднего 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регистрационного знака транспортного средства должны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соответствовать Правилам ЕЭК ООН № 48.</w:t>
            </w:r>
          </w:p>
        </w:tc>
      </w:tr>
      <w:tr w:rsidR="000B1FDC" w:rsidTr="0049729B">
        <w:tc>
          <w:tcPr>
            <w:tcW w:w="7393" w:type="dxa"/>
            <w:vMerge/>
          </w:tcPr>
          <w:p w:rsidR="000B1FDC" w:rsidRPr="0073552D" w:rsidRDefault="000B1FDC" w:rsidP="005A7E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0B1FDC" w:rsidRPr="0073552D" w:rsidRDefault="000B1FDC" w:rsidP="000B1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3.5. На тягаче должны быть установлены разъемные соединения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подключения электрооборудования и тормозных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полуприцепа.</w:t>
            </w:r>
          </w:p>
        </w:tc>
      </w:tr>
      <w:tr w:rsidR="000B1FDC" w:rsidTr="0049729B">
        <w:tc>
          <w:tcPr>
            <w:tcW w:w="7393" w:type="dxa"/>
            <w:vMerge w:val="restart"/>
          </w:tcPr>
          <w:p w:rsidR="000B1FDC" w:rsidRPr="0073552D" w:rsidRDefault="000B1FDC" w:rsidP="000B1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4. Установка на грузовые автомобили грузоподъемных бортов,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лебедок и гидравлических подъемников для самостоятельной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погрузки и разгрузки грузов, в отношении которых была проведена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оценка соответствия в составе типа транспортного средства</w:t>
            </w:r>
          </w:p>
        </w:tc>
        <w:tc>
          <w:tcPr>
            <w:tcW w:w="7393" w:type="dxa"/>
          </w:tcPr>
          <w:p w:rsidR="000B1FDC" w:rsidRPr="0073552D" w:rsidRDefault="000B1FDC" w:rsidP="000B1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4.1. Максимальная масса и ее распределение по осям и бортам,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также изменение координат центра масс не должны превышать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пределов, установленных изготовителем транспортного средства.</w:t>
            </w:r>
          </w:p>
        </w:tc>
      </w:tr>
      <w:tr w:rsidR="000B1FDC" w:rsidTr="0049729B">
        <w:tc>
          <w:tcPr>
            <w:tcW w:w="7393" w:type="dxa"/>
            <w:vMerge/>
          </w:tcPr>
          <w:p w:rsidR="000B1FDC" w:rsidRPr="0073552D" w:rsidRDefault="000B1FDC" w:rsidP="005A7E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0B1FDC" w:rsidRPr="0073552D" w:rsidRDefault="000B1FDC" w:rsidP="000B1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4.2. Габаритная ширина не должна превышать 2,55 м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изотермических кузовов транспортных средств 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максимальная ширина 2,6 м), а высота 4,0 м.</w:t>
            </w:r>
          </w:p>
        </w:tc>
      </w:tr>
      <w:tr w:rsidR="000B1FDC" w:rsidTr="0049729B">
        <w:tc>
          <w:tcPr>
            <w:tcW w:w="7393" w:type="dxa"/>
            <w:vMerge/>
          </w:tcPr>
          <w:p w:rsidR="000B1FDC" w:rsidRPr="0073552D" w:rsidRDefault="000B1FDC" w:rsidP="005A7E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0B1FDC" w:rsidRPr="0073552D" w:rsidRDefault="000B1FDC" w:rsidP="000B1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4.3. Грузоподъемные борта, лебедки и гидравлические подъемники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должны быть надежно закреплены стандартными крепежными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деталями.</w:t>
            </w:r>
          </w:p>
        </w:tc>
      </w:tr>
      <w:tr w:rsidR="000B1FDC" w:rsidTr="0049729B">
        <w:tc>
          <w:tcPr>
            <w:tcW w:w="7393" w:type="dxa"/>
            <w:vMerge/>
          </w:tcPr>
          <w:p w:rsidR="000B1FDC" w:rsidRPr="0073552D" w:rsidRDefault="000B1FDC" w:rsidP="005A7E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0B1FDC" w:rsidRPr="0073552D" w:rsidRDefault="000B1FDC" w:rsidP="000B1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4.4. Стрела гидравлического подъемника должна надежно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фиксироваться от смещения при движении автомобиля.</w:t>
            </w:r>
          </w:p>
        </w:tc>
      </w:tr>
      <w:tr w:rsidR="000B1FDC" w:rsidTr="0049729B">
        <w:tc>
          <w:tcPr>
            <w:tcW w:w="7393" w:type="dxa"/>
            <w:vMerge/>
          </w:tcPr>
          <w:p w:rsidR="000B1FDC" w:rsidRPr="0073552D" w:rsidRDefault="000B1FDC" w:rsidP="005A7E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0B1FDC" w:rsidRPr="0073552D" w:rsidRDefault="000B1FDC" w:rsidP="000B1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4.5. Грузоподъемный борт не должен иметь травмоопасных выступов (применяются требования Правил ЕЭК ООН № 61).</w:t>
            </w:r>
          </w:p>
        </w:tc>
      </w:tr>
      <w:tr w:rsidR="000B1FDC" w:rsidTr="0049729B">
        <w:tc>
          <w:tcPr>
            <w:tcW w:w="7393" w:type="dxa"/>
            <w:vMerge/>
          </w:tcPr>
          <w:p w:rsidR="000B1FDC" w:rsidRPr="0073552D" w:rsidRDefault="000B1FDC" w:rsidP="005A7E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0B1FDC" w:rsidRPr="0073552D" w:rsidRDefault="000B1FDC" w:rsidP="000B1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4.6. Лебедка не должна выступать за переднюю плоскость переднего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бампера. Допускается выступание лебедки в случае, если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движении автомобиля она закрыта защитным элементом.</w:t>
            </w:r>
          </w:p>
        </w:tc>
      </w:tr>
      <w:tr w:rsidR="000B1FDC" w:rsidTr="0049729B">
        <w:tc>
          <w:tcPr>
            <w:tcW w:w="7393" w:type="dxa"/>
            <w:vMerge/>
          </w:tcPr>
          <w:p w:rsidR="000B1FDC" w:rsidRPr="0073552D" w:rsidRDefault="000B1FDC" w:rsidP="005A7E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0B1FDC" w:rsidRPr="0073552D" w:rsidRDefault="000B1FDC" w:rsidP="003A4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4.7. Место расположения и установка задних внешних световых</w:t>
            </w:r>
            <w:r w:rsidR="003A4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приборов и приборов освещения заднего государственного регистрационного знака должны соответствовать Правилам ЕЭК</w:t>
            </w:r>
            <w:r w:rsidR="003A4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ООН № 48.</w:t>
            </w:r>
          </w:p>
        </w:tc>
      </w:tr>
      <w:tr w:rsidR="003A4D76" w:rsidTr="00C36185">
        <w:tc>
          <w:tcPr>
            <w:tcW w:w="7393" w:type="dxa"/>
            <w:vMerge w:val="restart"/>
          </w:tcPr>
          <w:p w:rsidR="003A4D76" w:rsidRPr="0073552D" w:rsidRDefault="003A4D76" w:rsidP="003A4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5. Установка на автомобили (в том числе в салоне легкового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автомобиля) и прицепы специального несъемного оборудования,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отношении которого была проведена оценка соответствия в составе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типа транспортного средства</w:t>
            </w:r>
          </w:p>
        </w:tc>
        <w:tc>
          <w:tcPr>
            <w:tcW w:w="7393" w:type="dxa"/>
          </w:tcPr>
          <w:p w:rsidR="003A4D76" w:rsidRPr="0073552D" w:rsidRDefault="003A4D76" w:rsidP="003A4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5.1. Максимальная масса и ее распределение по осям и бортам,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также изменение координат центра масс не должны превышать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пределов, установленных изготовителем транспортного средства.</w:t>
            </w:r>
          </w:p>
        </w:tc>
      </w:tr>
      <w:tr w:rsidR="003A4D76" w:rsidTr="00C36185">
        <w:tc>
          <w:tcPr>
            <w:tcW w:w="7393" w:type="dxa"/>
            <w:vMerge/>
          </w:tcPr>
          <w:p w:rsidR="003A4D76" w:rsidRPr="0073552D" w:rsidRDefault="003A4D76" w:rsidP="00C36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3A4D76" w:rsidRPr="0073552D" w:rsidRDefault="003A4D76" w:rsidP="003A4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5.2. Габаритная ширина транспортного средства не должна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превышать 2,55 м (для изотермических кузовов транспортных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средств допускается максимальная ширина 2,6 м), а высота 4,0 м.</w:t>
            </w:r>
          </w:p>
        </w:tc>
      </w:tr>
      <w:tr w:rsidR="003A4D76" w:rsidTr="00C36185">
        <w:tc>
          <w:tcPr>
            <w:tcW w:w="7393" w:type="dxa"/>
            <w:vMerge/>
          </w:tcPr>
          <w:p w:rsidR="003A4D76" w:rsidRPr="0073552D" w:rsidRDefault="003A4D76" w:rsidP="00C36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3A4D76" w:rsidRPr="0073552D" w:rsidRDefault="003A4D76" w:rsidP="003A4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5.3. Несъемное оборудование должно быть надежно закреплено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стандартными крепежными деталями.</w:t>
            </w:r>
          </w:p>
        </w:tc>
      </w:tr>
      <w:tr w:rsidR="003A4D76" w:rsidTr="00C36185">
        <w:tc>
          <w:tcPr>
            <w:tcW w:w="7393" w:type="dxa"/>
            <w:vMerge/>
          </w:tcPr>
          <w:p w:rsidR="003A4D76" w:rsidRPr="0073552D" w:rsidRDefault="003A4D76" w:rsidP="00C36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3A4D76" w:rsidRPr="0073552D" w:rsidRDefault="003A4D76" w:rsidP="003A4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5.4. Специальное оборудование, установленное в салоне легкового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автомобиля, автобуса, не должно иметь травмоопасных выступов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 xml:space="preserve">(должно соответствовать Правилам ЕЭК ООН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 xml:space="preserve"> 21).</w:t>
            </w:r>
          </w:p>
        </w:tc>
      </w:tr>
      <w:tr w:rsidR="003A4D76" w:rsidTr="0049729B">
        <w:tc>
          <w:tcPr>
            <w:tcW w:w="7393" w:type="dxa"/>
            <w:vMerge/>
          </w:tcPr>
          <w:p w:rsidR="003A4D76" w:rsidRPr="0073552D" w:rsidRDefault="003A4D76" w:rsidP="005A7E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3A4D76" w:rsidRPr="0073552D" w:rsidRDefault="003A4D76" w:rsidP="003A4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5.5. В легковом автомобиле специальное оборудование не должно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устанавливаться в зоне размещения органов управления и не должно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загораживать заднее окно.</w:t>
            </w:r>
          </w:p>
        </w:tc>
      </w:tr>
      <w:tr w:rsidR="003A4D76" w:rsidTr="00C36185">
        <w:tc>
          <w:tcPr>
            <w:tcW w:w="7393" w:type="dxa"/>
            <w:vMerge/>
          </w:tcPr>
          <w:p w:rsidR="003A4D76" w:rsidRPr="0073552D" w:rsidRDefault="003A4D76" w:rsidP="00C36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3A4D76" w:rsidRPr="0073552D" w:rsidRDefault="003A4D76" w:rsidP="003A4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5.6. Место расположения и установка задних внешних световых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приборов и приборов освещения заднего государственного регистрационного знака должно соответствовать Правилам ЕЭК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ООН № 48.</w:t>
            </w:r>
          </w:p>
        </w:tc>
      </w:tr>
      <w:tr w:rsidR="003A4D76" w:rsidTr="00C36185">
        <w:tc>
          <w:tcPr>
            <w:tcW w:w="7393" w:type="dxa"/>
            <w:vMerge w:val="restart"/>
          </w:tcPr>
          <w:p w:rsidR="003A4D76" w:rsidRPr="0073552D" w:rsidRDefault="003A4D76" w:rsidP="003A4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Установка взамен бортов на грузовые бортовые автомобили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бортовые двухосные прицепы коников</w:t>
            </w:r>
          </w:p>
        </w:tc>
        <w:tc>
          <w:tcPr>
            <w:tcW w:w="7393" w:type="dxa"/>
          </w:tcPr>
          <w:p w:rsidR="003A4D76" w:rsidRPr="0073552D" w:rsidRDefault="003A4D76" w:rsidP="003A4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6.1. Габаритная ширина транспортного средства не должна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превышать 2,55 м, а высота 4,0 м.</w:t>
            </w:r>
          </w:p>
        </w:tc>
      </w:tr>
      <w:tr w:rsidR="003A4D76" w:rsidTr="00C36185">
        <w:tc>
          <w:tcPr>
            <w:tcW w:w="7393" w:type="dxa"/>
            <w:vMerge/>
          </w:tcPr>
          <w:p w:rsidR="003A4D76" w:rsidRPr="0073552D" w:rsidRDefault="003A4D76" w:rsidP="00C36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3A4D76" w:rsidRPr="0073552D" w:rsidRDefault="003A4D76" w:rsidP="003A4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6.2. Коники должны быть надежно закреплены стандартными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крепежными деталями.</w:t>
            </w:r>
          </w:p>
        </w:tc>
      </w:tr>
      <w:tr w:rsidR="003A4D76" w:rsidTr="00C36185">
        <w:tc>
          <w:tcPr>
            <w:tcW w:w="7393" w:type="dxa"/>
            <w:vMerge w:val="restart"/>
          </w:tcPr>
          <w:p w:rsidR="003A4D76" w:rsidRPr="0073552D" w:rsidRDefault="003A4D76" w:rsidP="00DD39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7. Установка на шасси грузовых автомобилей кузово</w:t>
            </w:r>
            <w:proofErr w:type="gramStart"/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3552D">
              <w:rPr>
                <w:rFonts w:ascii="Times New Roman" w:hAnsi="Times New Roman" w:cs="Times New Roman"/>
                <w:sz w:val="24"/>
                <w:szCs w:val="24"/>
              </w:rPr>
              <w:t xml:space="preserve"> фургонов,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отношении которых была проведена оценка соответствия в составе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типа транспортного средства, для размещения мастерских, перевозки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почты, промышленных и продовольственных товаров (за</w:t>
            </w:r>
            <w:r w:rsidR="00DD3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исключением кузовов-фургонов, специально предназначенных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перевозки людей)</w:t>
            </w:r>
          </w:p>
        </w:tc>
        <w:tc>
          <w:tcPr>
            <w:tcW w:w="7393" w:type="dxa"/>
          </w:tcPr>
          <w:p w:rsidR="003A4D76" w:rsidRPr="0073552D" w:rsidRDefault="003A4D76" w:rsidP="003A4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7.1. Максимальная масса и ее распределение по осям и бортам,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также изменение координат центра масс не должны превышать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пределов, установленных изготовителем транспортного средства.</w:t>
            </w:r>
          </w:p>
        </w:tc>
      </w:tr>
      <w:tr w:rsidR="003A4D76" w:rsidTr="00C36185">
        <w:tc>
          <w:tcPr>
            <w:tcW w:w="7393" w:type="dxa"/>
            <w:vMerge/>
          </w:tcPr>
          <w:p w:rsidR="003A4D76" w:rsidRPr="0073552D" w:rsidRDefault="003A4D76" w:rsidP="00C36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3A4D76" w:rsidRPr="0073552D" w:rsidRDefault="003A4D76" w:rsidP="009365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7.2. Габаритная ширина кузов</w:t>
            </w:r>
            <w:proofErr w:type="gramStart"/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3552D">
              <w:rPr>
                <w:rFonts w:ascii="Times New Roman" w:hAnsi="Times New Roman" w:cs="Times New Roman"/>
                <w:sz w:val="24"/>
                <w:szCs w:val="24"/>
              </w:rPr>
              <w:t xml:space="preserve"> фургона должна быть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ширины бортового кузова автомобиля, но не более 2,55 м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изотермических кузовов транспортных средств допускается максимальная ширина 2,6 м). Габаритная высота автомобиля-фургона не должна быть больше 4,0 м от поверхности дороги.</w:t>
            </w:r>
          </w:p>
        </w:tc>
      </w:tr>
      <w:tr w:rsidR="003A4D76" w:rsidTr="00C36185">
        <w:tc>
          <w:tcPr>
            <w:tcW w:w="7393" w:type="dxa"/>
            <w:vMerge/>
          </w:tcPr>
          <w:p w:rsidR="003A4D76" w:rsidRPr="0073552D" w:rsidRDefault="003A4D76" w:rsidP="00C36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3A4D76" w:rsidRPr="0073552D" w:rsidRDefault="003A4D76" w:rsidP="009365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7.3. Кузов-фургон должен надежно крепиться к раме автомобиля</w:t>
            </w:r>
            <w:r w:rsidR="00936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крепежными элементами, аналогичными по конструкции, количеству    и материалу элементам крепления бортового кузова того же</w:t>
            </w:r>
            <w:r w:rsidR="00936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автомобиля, изготовленного в условиях серийного производства, той   же или большей технически допустимой максимальной массы.</w:t>
            </w:r>
          </w:p>
        </w:tc>
      </w:tr>
      <w:tr w:rsidR="003A4D76" w:rsidTr="00C36185">
        <w:tc>
          <w:tcPr>
            <w:tcW w:w="7393" w:type="dxa"/>
            <w:vMerge/>
          </w:tcPr>
          <w:p w:rsidR="003A4D76" w:rsidRPr="0073552D" w:rsidRDefault="003A4D76" w:rsidP="00C36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3A4D76" w:rsidRPr="0073552D" w:rsidRDefault="003A4D76" w:rsidP="009365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7.4. Дверь фургона должна быть расположена сзади или справа по</w:t>
            </w:r>
            <w:r w:rsidR="00936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ходу движения  автомобиля. Распашная боковая дверь фургона</w:t>
            </w:r>
            <w:r w:rsidR="00936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должна открываться слева направо по ходу движения автомобиля. Подножки боковой двери не должны выступать за боковой габарит</w:t>
            </w:r>
            <w:r w:rsidR="00936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автомобиля.</w:t>
            </w:r>
          </w:p>
        </w:tc>
      </w:tr>
      <w:tr w:rsidR="003A4D76" w:rsidTr="00C36185">
        <w:tc>
          <w:tcPr>
            <w:tcW w:w="7393" w:type="dxa"/>
            <w:vMerge/>
          </w:tcPr>
          <w:p w:rsidR="003A4D76" w:rsidRPr="0073552D" w:rsidRDefault="003A4D76" w:rsidP="00C36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3A4D76" w:rsidRPr="0073552D" w:rsidRDefault="003A4D76" w:rsidP="009365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7.5. При использовании ручки боковой двери поворотного типа</w:t>
            </w:r>
            <w:r w:rsidR="00936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(поворачивающейся в плоскости двери) открытый конец ручки</w:t>
            </w:r>
            <w:r w:rsidR="00936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должен быть направлен "назад" по ходу движения автомобиля и</w:t>
            </w:r>
            <w:r w:rsidR="00936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загнут по направлению "к двери"; сама ручка должна быть</w:t>
            </w:r>
            <w:r w:rsidR="00936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смонтирована таким образом, чтобы она поворачивалась в</w:t>
            </w:r>
            <w:r w:rsidR="00936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плоскости, параллельной двери, и не поворачивалась наружу. В</w:t>
            </w:r>
            <w:r w:rsidR="00936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закрытом положении конец ручки должен находиться в углублении</w:t>
            </w:r>
            <w:r w:rsidR="00936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или в защитном приспособлении. При использовании ручек боковых</w:t>
            </w:r>
            <w:r w:rsidR="00936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дверей, поворачивающихся наружу в любом направлении,</w:t>
            </w:r>
            <w:r w:rsidR="00936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непараллельном плоскости двери, открытый конец ручки должен</w:t>
            </w:r>
            <w:r w:rsidR="00936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быть направлен "назад" по ходу движения автомобиля либо вниз. В</w:t>
            </w:r>
            <w:r w:rsidR="00936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закрытом положении конец ручки должен находиться в углублении</w:t>
            </w:r>
            <w:r w:rsidR="00936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или в защитном приспособлении. Ручка боковой двери фургона</w:t>
            </w:r>
            <w:r w:rsidR="00936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может выступать над поверхностью двери не более чем на 40 мм.</w:t>
            </w:r>
          </w:p>
        </w:tc>
      </w:tr>
      <w:tr w:rsidR="003A4D76" w:rsidTr="00C36185">
        <w:tc>
          <w:tcPr>
            <w:tcW w:w="7393" w:type="dxa"/>
            <w:vMerge/>
          </w:tcPr>
          <w:p w:rsidR="003A4D76" w:rsidRPr="0073552D" w:rsidRDefault="003A4D76" w:rsidP="00C36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3A4D76" w:rsidRPr="0073552D" w:rsidRDefault="003A4D76" w:rsidP="009365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7.6. Дверные петли фургона могут выступать над поверхностью</w:t>
            </w:r>
            <w:r w:rsidR="00936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дверей не более чем на 30 мм.</w:t>
            </w:r>
          </w:p>
        </w:tc>
      </w:tr>
      <w:tr w:rsidR="003A4D76" w:rsidTr="00C36185">
        <w:tc>
          <w:tcPr>
            <w:tcW w:w="7393" w:type="dxa"/>
            <w:vMerge/>
          </w:tcPr>
          <w:p w:rsidR="003A4D76" w:rsidRPr="0073552D" w:rsidRDefault="003A4D76" w:rsidP="00C36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3A4D76" w:rsidRPr="0073552D" w:rsidRDefault="003A4D76" w:rsidP="009365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7.7. Оборудование мастерской должно быть надежно закреплено. На</w:t>
            </w:r>
            <w:r w:rsidR="00936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наружной поверхности фургона не должно быть травмоопасных</w:t>
            </w:r>
            <w:r w:rsidR="00936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выступов (применяются требования Правил ЕЭК ООН № 61).</w:t>
            </w:r>
          </w:p>
        </w:tc>
      </w:tr>
      <w:tr w:rsidR="003A4D76" w:rsidTr="00C36185">
        <w:tc>
          <w:tcPr>
            <w:tcW w:w="7393" w:type="dxa"/>
            <w:vMerge/>
          </w:tcPr>
          <w:p w:rsidR="003A4D76" w:rsidRPr="0073552D" w:rsidRDefault="003A4D76" w:rsidP="00C36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3A4D76" w:rsidRPr="0073552D" w:rsidRDefault="003A4D76" w:rsidP="009365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7.8. Кабина водителя должна быть оборудована с обеих сторон</w:t>
            </w:r>
            <w:r w:rsidR="00936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стандартными зеркалами заднего вида.</w:t>
            </w:r>
          </w:p>
        </w:tc>
      </w:tr>
      <w:tr w:rsidR="00DD39D8" w:rsidTr="00C36185">
        <w:tc>
          <w:tcPr>
            <w:tcW w:w="7393" w:type="dxa"/>
            <w:vMerge w:val="restart"/>
          </w:tcPr>
          <w:p w:rsidR="00DD39D8" w:rsidRPr="0073552D" w:rsidRDefault="00DD39D8" w:rsidP="009365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8. Установка оборудования для питания двигателя газообразным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топливом (компримированным природным газом - КПГ, сжиженным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нефтяным газом - СНГ) и демонтаж  такого оборудования</w:t>
            </w:r>
          </w:p>
        </w:tc>
        <w:tc>
          <w:tcPr>
            <w:tcW w:w="7393" w:type="dxa"/>
          </w:tcPr>
          <w:p w:rsidR="00DD39D8" w:rsidRPr="0073552D" w:rsidRDefault="00DD39D8" w:rsidP="009365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8.1. На транспортные средства может устанавливаться только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газобаллонное оборудование, тип которого был сертифицирован по Правилам ЕЭК ООН № 115 для соответствующего семейства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средств.</w:t>
            </w:r>
          </w:p>
        </w:tc>
      </w:tr>
      <w:tr w:rsidR="00DD39D8" w:rsidTr="00C36185">
        <w:tc>
          <w:tcPr>
            <w:tcW w:w="7393" w:type="dxa"/>
            <w:vMerge/>
          </w:tcPr>
          <w:p w:rsidR="00DD39D8" w:rsidRPr="0073552D" w:rsidRDefault="00DD39D8" w:rsidP="00C36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DD39D8" w:rsidRPr="0073552D" w:rsidRDefault="00DD39D8" w:rsidP="009365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Установка газобаллонного оборудования не должна приводить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понижению экологического класса транспортного средства.</w:t>
            </w:r>
          </w:p>
        </w:tc>
      </w:tr>
      <w:tr w:rsidR="00DD39D8" w:rsidTr="00C36185">
        <w:tc>
          <w:tcPr>
            <w:tcW w:w="7393" w:type="dxa"/>
            <w:vMerge/>
          </w:tcPr>
          <w:p w:rsidR="00DD39D8" w:rsidRPr="0073552D" w:rsidRDefault="00DD39D8" w:rsidP="00C36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DD39D8" w:rsidRPr="0073552D" w:rsidRDefault="00DD39D8" w:rsidP="009365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8.2. Размещение и установка оборудования для питания двигателя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газообразным топливом должны осуществляться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Правилами ЕЭК ООН №№ 36, 52, 66 и 115.</w:t>
            </w:r>
          </w:p>
        </w:tc>
      </w:tr>
      <w:tr w:rsidR="00DD39D8" w:rsidTr="00C36185">
        <w:tc>
          <w:tcPr>
            <w:tcW w:w="7393" w:type="dxa"/>
            <w:vMerge/>
          </w:tcPr>
          <w:p w:rsidR="00DD39D8" w:rsidRPr="0073552D" w:rsidRDefault="00DD39D8" w:rsidP="00C36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DD39D8" w:rsidRPr="0073552D" w:rsidRDefault="00DD39D8" w:rsidP="001C6A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8.3. Должна быть обеспечена поперечная статическая устойчивость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 категорий M2 и M3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55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</w:t>
            </w:r>
            <w:hyperlink w:anchor="Par2179" w:tooltip="Ссылка на текущий документ" w:history="1">
              <w:r w:rsidRPr="0093655E">
                <w:rPr>
                  <w:rFonts w:ascii="Times New Roman" w:hAnsi="Times New Roman" w:cs="Times New Roman"/>
                  <w:sz w:val="24"/>
                  <w:szCs w:val="24"/>
                </w:rPr>
                <w:t>подпункта 4.2</w:t>
              </w:r>
            </w:hyperlink>
            <w:r w:rsidRPr="0093655E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 xml:space="preserve"> 3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 018</w:t>
            </w:r>
            <w:r w:rsidRPr="001C6A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случае установки газовых баллонов на крыше. При этом 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увеличение габаритной высоты транспортного средства.</w:t>
            </w:r>
          </w:p>
        </w:tc>
      </w:tr>
      <w:tr w:rsidR="00DD39D8" w:rsidTr="00C36185">
        <w:tc>
          <w:tcPr>
            <w:tcW w:w="7393" w:type="dxa"/>
            <w:vMerge/>
          </w:tcPr>
          <w:p w:rsidR="00DD39D8" w:rsidRPr="0073552D" w:rsidRDefault="00DD39D8" w:rsidP="00C36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DD39D8" w:rsidRDefault="00DD39D8" w:rsidP="001C6A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8.4. Производитель работ по внесению изменений в конструкцию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транспортного средства должен представить: </w:t>
            </w:r>
          </w:p>
          <w:p w:rsidR="00DD39D8" w:rsidRDefault="00DD39D8" w:rsidP="001C6A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- заверенные изготовителем, или поставщиком, или продавцом копии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сертификатов соответствия: </w:t>
            </w:r>
          </w:p>
          <w:p w:rsidR="00DD39D8" w:rsidRDefault="00DD39D8" w:rsidP="001C6A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 xml:space="preserve">- на отдельные элементы оборудования - по Правилам ЕЭК ООН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 xml:space="preserve"> 67 или 110; </w:t>
            </w:r>
          </w:p>
          <w:p w:rsidR="00DD39D8" w:rsidRDefault="00DD39D8" w:rsidP="001C6A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- на тип газобаллонной системы в целом для соответствующего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семейства транспортных средств - по Правилам ЕЭК ООН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 xml:space="preserve"> 115; </w:t>
            </w:r>
          </w:p>
          <w:p w:rsidR="00DD39D8" w:rsidRPr="0073552D" w:rsidRDefault="00DD39D8" w:rsidP="00DD39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- декларацию производителя работ по внесению изменений в конструкцию транспортного средства о выполнении работ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соответствии с установленными правилами, проверке герметичности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и опрессовке системы питания, о проведении периодических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испытаний оборудования для питания двигателя газообразным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топливом и о соответствии предельно допустимого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оксида углерода (CO) в отработавших газах транспортного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hyperlink w:anchor="Par5281" w:tooltip="Ссылка на текущий документ" w:history="1">
              <w:r w:rsidRPr="00DD39D8">
                <w:rPr>
                  <w:rFonts w:ascii="Times New Roman" w:hAnsi="Times New Roman" w:cs="Times New Roman"/>
                  <w:sz w:val="24"/>
                  <w:szCs w:val="24"/>
                </w:rPr>
                <w:t>приложения № 8</w:t>
              </w:r>
            </w:hyperlink>
            <w:r w:rsidRPr="00DD3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 018</w:t>
            </w:r>
            <w:r w:rsidRPr="001C6A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D39D8" w:rsidTr="00C36185">
        <w:tc>
          <w:tcPr>
            <w:tcW w:w="7393" w:type="dxa"/>
            <w:vMerge/>
          </w:tcPr>
          <w:p w:rsidR="00DD39D8" w:rsidRPr="0073552D" w:rsidRDefault="00DD39D8" w:rsidP="00C36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DD39D8" w:rsidRDefault="00DD39D8" w:rsidP="00C36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</w:t>
            </w:r>
          </w:p>
          <w:p w:rsidR="00DD39D8" w:rsidRPr="0073552D" w:rsidRDefault="00DD39D8" w:rsidP="00DD39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В отношении транспортных средств экологических классов 0, 1 и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применяются Правила ЕЭК ООН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 xml:space="preserve"> 115, включая дополнение 1,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отношении транспортных сре</w:t>
            </w:r>
            <w:proofErr w:type="gramStart"/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дств др</w:t>
            </w:r>
            <w:proofErr w:type="gramEnd"/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угих экологических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применяются Правила ЕЭК ООН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 xml:space="preserve"> 115, включая дополнения 1-4.</w:t>
            </w:r>
          </w:p>
        </w:tc>
      </w:tr>
      <w:tr w:rsidR="002103C0" w:rsidTr="00C36185">
        <w:tc>
          <w:tcPr>
            <w:tcW w:w="7393" w:type="dxa"/>
            <w:vMerge w:val="restart"/>
          </w:tcPr>
          <w:p w:rsidR="002103C0" w:rsidRPr="0073552D" w:rsidRDefault="002103C0" w:rsidP="00DD39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9. Замена (установка) устройств освещения и световой сигнализации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или внесение изменений в их конструкцию, включая изменение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 xml:space="preserve">класса источников света в фарах        </w:t>
            </w:r>
          </w:p>
        </w:tc>
        <w:tc>
          <w:tcPr>
            <w:tcW w:w="7393" w:type="dxa"/>
          </w:tcPr>
          <w:p w:rsidR="002103C0" w:rsidRPr="0073552D" w:rsidRDefault="002103C0" w:rsidP="00DD39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9.1. На устройства освещения и световой сигнализации, предназначенные для установки на транспортное средство, должно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быть выдано сообщение об официальном утверждении по Правилам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ЕЭК ООН, применяемым в отношении устройств освещения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световой сигнализации и источников света в них или заключение аккредитованной испытательной лаборатории о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указанным Правилам ЕЭК ООН.</w:t>
            </w:r>
          </w:p>
        </w:tc>
      </w:tr>
      <w:tr w:rsidR="002103C0" w:rsidTr="00C36185">
        <w:tc>
          <w:tcPr>
            <w:tcW w:w="7393" w:type="dxa"/>
            <w:vMerge/>
          </w:tcPr>
          <w:p w:rsidR="002103C0" w:rsidRPr="0073552D" w:rsidRDefault="002103C0" w:rsidP="00C36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2103C0" w:rsidRPr="0073552D" w:rsidRDefault="002103C0" w:rsidP="00C36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9.2. При необходимости замены предусмотренного конструкцией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транспортного средства источника света на источник света того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класса с иными фотометрическими характеристиками либо иного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класса такая замена может быть проведена только совместно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световым модулем, соответствующим заменяемому источнику света,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 xml:space="preserve">либо фары в сборе. </w:t>
            </w:r>
          </w:p>
          <w:p w:rsidR="002103C0" w:rsidRDefault="002103C0" w:rsidP="002103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Не допускается установка нештатных световых модулей в случае,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если освещающая поверхность рассеивателя в зоне прохождения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пучка света нештатного светового модуля имеет оптические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элементы, участвующие в формировании пучка света.</w:t>
            </w:r>
          </w:p>
          <w:p w:rsidR="002103C0" w:rsidRPr="0073552D" w:rsidRDefault="002103C0" w:rsidP="002103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В случае изменения класса источника света необходимо 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аккредитованной испытательной лаборатории о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Правилам ЕЭК ООН, применяемым в отношении соответствующих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типов фар и источников света, фотометрических параметров фары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замененными источниками света и световыми модулями.</w:t>
            </w:r>
          </w:p>
        </w:tc>
      </w:tr>
      <w:tr w:rsidR="002103C0" w:rsidTr="00C36185">
        <w:tc>
          <w:tcPr>
            <w:tcW w:w="7393" w:type="dxa"/>
            <w:vMerge/>
          </w:tcPr>
          <w:p w:rsidR="002103C0" w:rsidRPr="0073552D" w:rsidRDefault="002103C0" w:rsidP="00C36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2103C0" w:rsidRPr="0073552D" w:rsidRDefault="002103C0" w:rsidP="002103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9.3. В случае установки оптических элементов, предназначенных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коррекции светового пучка фар в целях приведения его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 требованиями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 018</w:t>
            </w:r>
            <w:r w:rsidRPr="001C6A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, подтверждение этого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соответствия производится путем проверки фотометрических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параметров фары согласно требованиям Правил ЕЭК ООН,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применяемым в отношении данных фар.</w:t>
            </w:r>
          </w:p>
        </w:tc>
      </w:tr>
      <w:tr w:rsidR="002103C0" w:rsidTr="00C36185">
        <w:tc>
          <w:tcPr>
            <w:tcW w:w="7393" w:type="dxa"/>
            <w:vMerge/>
          </w:tcPr>
          <w:p w:rsidR="002103C0" w:rsidRPr="0073552D" w:rsidRDefault="002103C0" w:rsidP="00C36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2103C0" w:rsidRPr="0073552D" w:rsidRDefault="002103C0" w:rsidP="002103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9.4. При установке на транспортное средство не предусмотренных его конструкцией устройств освещения и световой сигнализации,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также изменении конструкции фар (изменении класса источника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света в них) должны выполняться (с учетом категории транспортного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средства) требования Правил ЕЭК ООН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 xml:space="preserve">48, 53, 74, </w:t>
            </w:r>
            <w:hyperlink w:anchor="Par1960" w:tooltip="Ссылка на текущий документ" w:history="1">
              <w:r w:rsidRPr="002103C0">
                <w:rPr>
                  <w:rFonts w:ascii="Times New Roman" w:hAnsi="Times New Roman" w:cs="Times New Roman"/>
                  <w:sz w:val="24"/>
                  <w:szCs w:val="24"/>
                </w:rPr>
                <w:t>пункта 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2103C0">
                <w:rPr>
                  <w:rFonts w:ascii="Times New Roman" w:hAnsi="Times New Roman" w:cs="Times New Roman"/>
                  <w:sz w:val="24"/>
                  <w:szCs w:val="24"/>
                </w:rPr>
                <w:t>приложения № 3</w:t>
              </w:r>
            </w:hyperlink>
            <w:r w:rsidRPr="002103C0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gramStart"/>
            <w:r w:rsidRPr="002103C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103C0">
              <w:rPr>
                <w:rFonts w:ascii="Times New Roman" w:hAnsi="Times New Roman" w:cs="Times New Roman"/>
                <w:sz w:val="24"/>
                <w:szCs w:val="24"/>
              </w:rPr>
              <w:t xml:space="preserve"> ТС 018/2011.</w:t>
            </w:r>
          </w:p>
        </w:tc>
      </w:tr>
      <w:tr w:rsidR="00C6204E" w:rsidTr="0049729B">
        <w:tc>
          <w:tcPr>
            <w:tcW w:w="7393" w:type="dxa"/>
          </w:tcPr>
          <w:p w:rsidR="00C6204E" w:rsidRPr="0073552D" w:rsidRDefault="0073552D" w:rsidP="002103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10. Переоборудование транспортных сре</w:t>
            </w:r>
            <w:proofErr w:type="gramStart"/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я обеспечения возможности управления лицами с ограниченными физическими</w:t>
            </w:r>
            <w:r w:rsidR="0021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</w:p>
        </w:tc>
        <w:tc>
          <w:tcPr>
            <w:tcW w:w="7393" w:type="dxa"/>
          </w:tcPr>
          <w:p w:rsidR="00C6204E" w:rsidRPr="0073552D" w:rsidRDefault="00C36185" w:rsidP="002103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D">
              <w:rPr>
                <w:rFonts w:ascii="Times New Roman" w:hAnsi="Times New Roman" w:cs="Times New Roman"/>
                <w:sz w:val="24"/>
                <w:szCs w:val="24"/>
              </w:rPr>
              <w:t xml:space="preserve">10.1. Выполняются </w:t>
            </w:r>
            <w:r w:rsidRPr="002103C0">
              <w:rPr>
                <w:rFonts w:ascii="Times New Roman" w:hAnsi="Times New Roman" w:cs="Times New Roman"/>
                <w:sz w:val="24"/>
                <w:szCs w:val="24"/>
              </w:rPr>
              <w:t>требования пункта</w:t>
            </w:r>
            <w:r w:rsidR="002103C0" w:rsidRPr="0021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720" w:tooltip="Ссылка на текущий документ" w:history="1">
              <w:r w:rsidRPr="002103C0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Pr="002103C0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 w:rsidR="002103C0" w:rsidRPr="002103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03C0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gramStart"/>
            <w:r w:rsidR="002103C0" w:rsidRPr="002103C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="002103C0" w:rsidRPr="002103C0">
              <w:rPr>
                <w:rFonts w:ascii="Times New Roman" w:hAnsi="Times New Roman" w:cs="Times New Roman"/>
                <w:sz w:val="24"/>
                <w:szCs w:val="24"/>
              </w:rPr>
              <w:t xml:space="preserve"> ТС 018/2011</w:t>
            </w:r>
            <w:r w:rsidRPr="00210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A7E8C" w:rsidRDefault="005A7E8C" w:rsidP="005A7E8C">
      <w:pPr>
        <w:pStyle w:val="ConsPlusCell"/>
        <w:rPr>
          <w:rFonts w:ascii="Courier New" w:hAnsi="Courier New" w:cs="Courier New"/>
        </w:rPr>
      </w:pPr>
      <w:bookmarkStart w:id="2" w:name="Par6762"/>
      <w:bookmarkEnd w:id="2"/>
      <w:r>
        <w:rPr>
          <w:rFonts w:ascii="Courier New" w:hAnsi="Courier New" w:cs="Courier New"/>
        </w:rPr>
        <w:t xml:space="preserve">                                     </w:t>
      </w:r>
    </w:p>
    <w:p w:rsidR="005A7E8C" w:rsidRDefault="005A7E8C" w:rsidP="005A7E8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</w:t>
      </w:r>
    </w:p>
    <w:p w:rsidR="005A7E8C" w:rsidRDefault="005A7E8C" w:rsidP="005A7E8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</w:t>
      </w:r>
    </w:p>
    <w:p w:rsidR="005A7E8C" w:rsidRDefault="005A7E8C" w:rsidP="005A7E8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</w:t>
      </w:r>
    </w:p>
    <w:p w:rsidR="005A7E8C" w:rsidRDefault="005A7E8C" w:rsidP="005A7E8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</w:t>
      </w:r>
    </w:p>
    <w:sectPr w:rsidR="005A7E8C" w:rsidSect="001679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7CE3"/>
    <w:multiLevelType w:val="hybridMultilevel"/>
    <w:tmpl w:val="DFBAA66C"/>
    <w:lvl w:ilvl="0" w:tplc="6282900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95C584D"/>
    <w:multiLevelType w:val="hybridMultilevel"/>
    <w:tmpl w:val="A2AC4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0759C"/>
    <w:multiLevelType w:val="hybridMultilevel"/>
    <w:tmpl w:val="79ECF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43956"/>
    <w:multiLevelType w:val="multilevel"/>
    <w:tmpl w:val="CCF8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93452"/>
    <w:multiLevelType w:val="hybridMultilevel"/>
    <w:tmpl w:val="DD0CBE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47A44A7"/>
    <w:multiLevelType w:val="multilevel"/>
    <w:tmpl w:val="F1C6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850911"/>
    <w:multiLevelType w:val="hybridMultilevel"/>
    <w:tmpl w:val="D9C8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0F"/>
    <w:rsid w:val="00020D15"/>
    <w:rsid w:val="00037C68"/>
    <w:rsid w:val="000701D6"/>
    <w:rsid w:val="000726E0"/>
    <w:rsid w:val="000B1FDC"/>
    <w:rsid w:val="000B5290"/>
    <w:rsid w:val="000D7ABD"/>
    <w:rsid w:val="00125229"/>
    <w:rsid w:val="00144098"/>
    <w:rsid w:val="001679D9"/>
    <w:rsid w:val="001B023C"/>
    <w:rsid w:val="001C6A94"/>
    <w:rsid w:val="002103C0"/>
    <w:rsid w:val="002206CE"/>
    <w:rsid w:val="0023519F"/>
    <w:rsid w:val="002D1CC9"/>
    <w:rsid w:val="002D7D7D"/>
    <w:rsid w:val="00323FCC"/>
    <w:rsid w:val="003543CF"/>
    <w:rsid w:val="0035710C"/>
    <w:rsid w:val="00374422"/>
    <w:rsid w:val="0038150F"/>
    <w:rsid w:val="003A0EBF"/>
    <w:rsid w:val="003A1AE4"/>
    <w:rsid w:val="003A4D76"/>
    <w:rsid w:val="003B5700"/>
    <w:rsid w:val="003C6607"/>
    <w:rsid w:val="004559BB"/>
    <w:rsid w:val="00476995"/>
    <w:rsid w:val="0049729B"/>
    <w:rsid w:val="004D0DF0"/>
    <w:rsid w:val="004D2F18"/>
    <w:rsid w:val="00517758"/>
    <w:rsid w:val="00531738"/>
    <w:rsid w:val="00533538"/>
    <w:rsid w:val="00533A30"/>
    <w:rsid w:val="00570808"/>
    <w:rsid w:val="00595298"/>
    <w:rsid w:val="005A6A00"/>
    <w:rsid w:val="005A7E8C"/>
    <w:rsid w:val="005E132C"/>
    <w:rsid w:val="006310C9"/>
    <w:rsid w:val="00697D23"/>
    <w:rsid w:val="006C6161"/>
    <w:rsid w:val="0073232E"/>
    <w:rsid w:val="0073552D"/>
    <w:rsid w:val="00751CF2"/>
    <w:rsid w:val="007A2F95"/>
    <w:rsid w:val="007B5B6D"/>
    <w:rsid w:val="007D1DAB"/>
    <w:rsid w:val="00885D41"/>
    <w:rsid w:val="008A1A6C"/>
    <w:rsid w:val="008B15BC"/>
    <w:rsid w:val="008F6209"/>
    <w:rsid w:val="0092682E"/>
    <w:rsid w:val="00932117"/>
    <w:rsid w:val="0093329A"/>
    <w:rsid w:val="0093655E"/>
    <w:rsid w:val="00963903"/>
    <w:rsid w:val="009668FF"/>
    <w:rsid w:val="00980B14"/>
    <w:rsid w:val="009A268F"/>
    <w:rsid w:val="009B16F9"/>
    <w:rsid w:val="009B5285"/>
    <w:rsid w:val="00A04ECF"/>
    <w:rsid w:val="00A14A8D"/>
    <w:rsid w:val="00A70AB2"/>
    <w:rsid w:val="00AA349E"/>
    <w:rsid w:val="00AE120F"/>
    <w:rsid w:val="00B166D1"/>
    <w:rsid w:val="00B35CCB"/>
    <w:rsid w:val="00B66B8A"/>
    <w:rsid w:val="00B70B1C"/>
    <w:rsid w:val="00B84CFE"/>
    <w:rsid w:val="00B84D0F"/>
    <w:rsid w:val="00BB48CB"/>
    <w:rsid w:val="00BD3854"/>
    <w:rsid w:val="00BE5907"/>
    <w:rsid w:val="00BE61DC"/>
    <w:rsid w:val="00BF4BD8"/>
    <w:rsid w:val="00BF7A95"/>
    <w:rsid w:val="00C11554"/>
    <w:rsid w:val="00C155CD"/>
    <w:rsid w:val="00C31E97"/>
    <w:rsid w:val="00C36185"/>
    <w:rsid w:val="00C44D2E"/>
    <w:rsid w:val="00C477B6"/>
    <w:rsid w:val="00C612E8"/>
    <w:rsid w:val="00C6204E"/>
    <w:rsid w:val="00CB2DE5"/>
    <w:rsid w:val="00CE24E5"/>
    <w:rsid w:val="00D450B7"/>
    <w:rsid w:val="00D453AA"/>
    <w:rsid w:val="00D82076"/>
    <w:rsid w:val="00D85759"/>
    <w:rsid w:val="00DC69AD"/>
    <w:rsid w:val="00DD39D8"/>
    <w:rsid w:val="00E03651"/>
    <w:rsid w:val="00E0558A"/>
    <w:rsid w:val="00E15161"/>
    <w:rsid w:val="00E20DAB"/>
    <w:rsid w:val="00E21F3F"/>
    <w:rsid w:val="00E23C5D"/>
    <w:rsid w:val="00E65202"/>
    <w:rsid w:val="00EB4619"/>
    <w:rsid w:val="00EF1AB1"/>
    <w:rsid w:val="00F42879"/>
    <w:rsid w:val="00FC1F5D"/>
    <w:rsid w:val="00FC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166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66D1"/>
  </w:style>
  <w:style w:type="paragraph" w:styleId="a5">
    <w:name w:val="List Paragraph"/>
    <w:basedOn w:val="a"/>
    <w:uiPriority w:val="34"/>
    <w:qFormat/>
    <w:rsid w:val="00037C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F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1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7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166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66D1"/>
  </w:style>
  <w:style w:type="paragraph" w:styleId="a5">
    <w:name w:val="List Paragraph"/>
    <w:basedOn w:val="a"/>
    <w:uiPriority w:val="34"/>
    <w:qFormat/>
    <w:rsid w:val="00037C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F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1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7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5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0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3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CTAC</dc:creator>
  <cp:lastModifiedBy>CTAC</cp:lastModifiedBy>
  <cp:revision>15</cp:revision>
  <dcterms:created xsi:type="dcterms:W3CDTF">2016-04-22T13:02:00Z</dcterms:created>
  <dcterms:modified xsi:type="dcterms:W3CDTF">2016-08-08T11:29:00Z</dcterms:modified>
</cp:coreProperties>
</file>